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drawing>
          <wp:inline distT="0" distB="0" distL="0" distR="0">
            <wp:extent cx="139065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390650" cy="495300"/>
                    </a:xfrm>
                    <a:prstGeom prst="rect">
                      <a:avLst/>
                    </a:prstGeom>
                  </pic:spPr>
                </pic:pic>
              </a:graphicData>
            </a:graphic>
          </wp:inline>
        </w:drawing>
      </w:r>
    </w:p>
    <w:p>
      <w:pPr>
        <w:pBdr>
          <w:bottom w:val="single" w:color="426DAD" w:sz="18" w:space="1"/>
        </w:pBdr>
        <w:spacing w:after="200"/>
      </w:pPr>
    </w:p>
    <w:p>
      <w:pPr>
        <w:spacing w:after="60"/>
      </w:pPr>
      <w:r>
        <w:rPr>
          <w:b/>
          <w:bCs/>
          <w:color w:val="426DAD"/>
          <w:spacing w:val="40"/>
          <w:sz w:val="17"/>
          <w:szCs w:val="17"/>
        </w:rPr>
        <w:t xml:space="preserve">COMMERCIAL WINDOW CLEANING</w:t>
      </w:r>
    </w:p>
    <w:p>
      <w:pPr>
        <w:spacing w:after="100"/>
      </w:pPr>
      <w:r>
        <w:rPr>
          <w:b/>
          <w:bCs/>
          <w:color w:val="1B2C44"/>
          <w:sz w:val="52"/>
          <w:szCs w:val="52"/>
        </w:rPr>
        <w:t xml:space="preserve">RFP Template</w:t>
      </w:r>
    </w:p>
    <w:p>
      <w:pPr>
        <w:spacing w:after="100"/>
      </w:pPr>
      <w:r>
        <w:rPr>
          <w:color w:val="5F6E7E"/>
          <w:sz w:val="22"/>
          <w:szCs w:val="22"/>
        </w:rPr>
        <w:t xml:space="preserve">A ready-to-send request for proposal that makes every vendor bid the same scope, safety and insurance terms, so you can compare bids line by line.</w:t>
      </w:r>
    </w:p>
    <w:p>
      <w:pPr>
        <w:pStyle w:val="Heading2"/>
      </w:pPr>
      <w:r>
        <w:t xml:space="preserve">How to use it</w:t>
      </w:r>
    </w:p>
    <w:p>
      <w:pPr>
        <w:pStyle w:val="ListParagraph"/>
        <w:numPr>
          <w:ilvl w:val="0"/>
          <w:numId w:val="2"/>
        </w:numPr>
        <w:spacing w:after="50"/>
      </w:pPr>
      <w:r>
        <w:t xml:space="preserve">Fill in every highlighted field, like </w:t>
      </w:r>
      <w:r>
        <w:rPr>
          <w:color w:val="2E5390"/>
          <w:shd w:fill="EAF1FA" w:color="auto" w:val="clear"/>
        </w:rPr>
        <w:t xml:space="preserve">[this one]</w:t>
      </w:r>
      <w:r>
        <w:t xml:space="preserve">. Delete the brackets as you go.</w:t>
      </w:r>
    </w:p>
    <w:p>
      <w:pPr>
        <w:pStyle w:val="ListParagraph"/>
        <w:numPr>
          <w:ilvl w:val="0"/>
          <w:numId w:val="2"/>
        </w:numPr>
        <w:spacing w:after="50"/>
      </w:pPr>
      <w:r>
        <w:t xml:space="preserve">Complete one building table (Section 2) for each building.</w:t>
      </w:r>
    </w:p>
    <w:p>
      <w:pPr>
        <w:pStyle w:val="ListParagraph"/>
        <w:numPr>
          <w:ilvl w:val="0"/>
          <w:numId w:val="2"/>
        </w:numPr>
        <w:spacing w:after="50"/>
      </w:pPr>
      <w:r>
        <w:t xml:space="preserve">Name the access method for every elevation (Section 3). It is the single biggest reason bids for the same building come back far apart.</w:t>
      </w:r>
    </w:p>
    <w:p>
      <w:pPr>
        <w:pStyle w:val="ListParagraph"/>
        <w:numPr>
          <w:ilvl w:val="0"/>
          <w:numId w:val="2"/>
        </w:numPr>
        <w:spacing w:after="50"/>
      </w:pPr>
      <w:r>
        <w:t xml:space="preserve">Keep the bid form (Section 9) as it is, so every response comes back in the same structure.</w:t>
      </w:r>
    </w:p>
    <w:p>
      <w:pPr>
        <w:pStyle w:val="ListParagraph"/>
        <w:numPr>
          <w:ilvl w:val="0"/>
          <w:numId w:val="2"/>
        </w:numPr>
        <w:spacing w:after="50"/>
      </w:pPr>
      <w:r>
        <w:t xml:space="preserve">Delete this page before you send the RFP.</w:t>
      </w:r>
    </w:p>
    <w:p>
      <w:pPr>
        <w:pStyle w:val="Heading2"/>
      </w:pPr>
      <w:r>
        <w:t xml:space="preserve">Tips that improve the bids you get</w:t>
      </w:r>
    </w:p>
    <w:p>
      <w:pPr>
        <w:pStyle w:val="ListParagraph"/>
        <w:numPr>
          <w:ilvl w:val="0"/>
          <w:numId w:val="2"/>
        </w:numPr>
        <w:spacing w:after="50"/>
      </w:pPr>
      <w:r>
        <w:t xml:space="preserve">Offer a site walk. Bidders who see the roof and the facade price the real job.</w:t>
      </w:r>
    </w:p>
    <w:p>
      <w:pPr>
        <w:pStyle w:val="ListParagraph"/>
        <w:numPr>
          <w:ilvl w:val="0"/>
          <w:numId w:val="2"/>
        </w:numPr>
        <w:spacing w:after="50"/>
      </w:pPr>
      <w:r>
        <w:t xml:space="preserve">Give enough time for a walkthrough on every building.</w:t>
      </w:r>
    </w:p>
    <w:p>
      <w:pPr>
        <w:pStyle w:val="ListParagraph"/>
        <w:numPr>
          <w:ilvl w:val="0"/>
          <w:numId w:val="2"/>
        </w:numPr>
        <w:spacing w:after="50"/>
      </w:pPr>
      <w:r>
        <w:t xml:space="preserve">Ask for alternates separately, so they do not muddy the base price.</w:t>
      </w:r>
    </w:p>
    <w:p>
      <w:pPr>
        <w:pStyle w:val="ListParagraph"/>
        <w:numPr>
          <w:ilvl w:val="0"/>
          <w:numId w:val="2"/>
        </w:numPr>
        <w:spacing w:after="50"/>
      </w:pPr>
      <w:r>
        <w:t xml:space="preserve">Treat a slow certificate of insurance or a vague safety answer as the answer.</w:t>
      </w:r>
    </w:p>
    <w:p>
      <w:pPr>
        <w:pStyle w:val="Heading2"/>
      </w:pPr>
      <w:r>
        <w:t xml:space="preserve">Before you send</w:t>
      </w:r>
    </w:p>
    <w:p>
      <w:pPr>
        <w:pStyle w:val="ListParagraph"/>
        <w:numPr>
          <w:ilvl w:val="0"/>
          <w:numId w:val="2"/>
        </w:numPr>
        <w:spacing w:after="50"/>
      </w:pPr>
      <w:r>
        <w:t xml:space="preserve">Have your risk manager set the insurance types and limits in Section 5.</w:t>
      </w:r>
    </w:p>
    <w:p>
      <w:pPr>
        <w:pStyle w:val="ListParagraph"/>
        <w:numPr>
          <w:ilvl w:val="0"/>
          <w:numId w:val="2"/>
        </w:numPr>
        <w:spacing w:after="50"/>
      </w:pPr>
      <w:r>
        <w:t xml:space="preserve">Have your counsel review the contract terms you ask for in Section 9. This template is general information, not legal advice.</w:t>
      </w:r>
    </w:p>
    <w:p>
      <w:pPr>
        <w:pStyle w:val="ListParagraph"/>
        <w:numPr>
          <w:ilvl w:val="0"/>
          <w:numId w:val="2"/>
        </w:numPr>
        <w:spacing w:after="50"/>
      </w:pPr>
      <w:r>
        <w:t xml:space="preserve">Check your anchor records: Section 4 asks you to say who provides anchorage certification before rope descent work.</w:t>
      </w:r>
    </w:p>
    <w:p>
      <w:pPr>
        <w:pBdr>
          <w:left w:val="single" w:color="426DAD" w:sz="24" w:space="8"/>
        </w:pBdr>
        <w:shd w:fill="EAF1FA" w:color="auto" w:val="clear"/>
        <w:spacing w:after="120" w:before="120"/>
        <w:ind w:left="160" w:right="160"/>
      </w:pPr>
      <w:r>
        <w:rPr>
          <w:b/>
          <w:bCs/>
          <w:color w:val="1B2C44"/>
        </w:rPr>
        <w:t xml:space="preserve">Invite S&amp;K to bid. </w:t>
      </w:r>
      <w:r>
        <w:t xml:space="preserve">S&amp;K walks every property, scopes the work and delivers a clear, fixed proposal, with 100% W2 crews, documented safety plans and certificates of insurance on request. Call </w:t>
      </w:r>
      <w:r>
        <w:rPr>
          <w:b/>
          <w:bCs/>
          <w:color w:val="2E5390"/>
        </w:rPr>
        <w:t xml:space="preserve">(317) 635-5305</w:t>
      </w:r>
      <w:r>
        <w:t xml:space="preserve">, or request a quote at skbuildingservices.com.</w:t>
      </w:r>
    </w:p>
    <w:p>
      <w:pPr>
        <w:sectPr>
          <w:footerReference w:type="default" r:id="rId6"/>
          <w:pgSz w:w="12240" w:h="15840" w:orient="portrait"/>
          <w:pgMar w:top="1080" w:right="1080" w:bottom="1080" w:left="1080" w:header="708" w:footer="708" w:gutter="0"/>
          <w:pgNumType/>
          <w:docGrid w:linePitch="360"/>
        </w:sectPr>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auto" w:sz="0"/>
              <w:left w:val="none" w:color="auto" w:sz="0"/>
              <w:bottom w:val="single" w:color="426DAD" w:sz="24"/>
              <w:right w:val="none" w:color="auto" w:sz="0"/>
            </w:tcBorders>
            <w:shd w:fill="1B2C44" w:color="auto" w:val="clear"/>
            <w:tcMar>
              <w:top w:type="dxa" w:w="260"/>
              <w:left w:type="dxa" w:w="300"/>
              <w:bottom w:type="dxa" w:w="260"/>
              <w:right w:type="dxa" w:w="300"/>
            </w:tcMar>
          </w:tcPr>
          <w:p>
            <w:pPr>
              <w:spacing w:after="60"/>
            </w:pPr>
            <w:r>
              <w:rPr>
                <w:b/>
                <w:bCs/>
                <w:color w:val="9DB8E0"/>
                <w:spacing w:val="40"/>
                <w:sz w:val="17"/>
                <w:szCs w:val="17"/>
              </w:rPr>
              <w:t xml:space="preserve">REQUEST FOR PROPOSAL</w:t>
            </w:r>
          </w:p>
          <w:p>
            <w:pPr>
              <w:spacing w:after="60"/>
            </w:pPr>
            <w:r>
              <w:rPr>
                <w:b/>
                <w:bCs/>
                <w:color w:val="FFFFFF"/>
                <w:sz w:val="40"/>
                <w:szCs w:val="40"/>
              </w:rPr>
              <w:t xml:space="preserve">Commercial Window Cleaning</w:t>
            </w:r>
          </w:p>
          <w:p>
            <w:r>
              <w:rPr>
                <w:color w:val="D5DDE7"/>
                <w:sz w:val="20"/>
                <w:szCs w:val="20"/>
              </w:rPr>
              <w:t xml:space="preserve">[Your organization]  |  RFP [number]</w:t>
            </w:r>
          </w:p>
        </w:tc>
      </w:tr>
    </w:tbl>
    <w:p>
      <w:pPr>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600"/>
        <w:gridCol w:w="7480"/>
      </w:tblGrid>
      <w:tr>
        <w:trPr>
          <w:tblHeader/>
        </w:trPr>
        <w:tc>
          <w:tcPr>
            <w:tcW w:type="dxa" w:w="26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Item</w:t>
            </w:r>
          </w:p>
        </w:tc>
        <w:tc>
          <w:tcPr>
            <w:tcW w:type="dxa" w:w="748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Detail</w:t>
            </w:r>
          </w:p>
        </w:tc>
      </w:tr>
      <w:tr>
        <w:trPr>
          <w:cantSplit/>
        </w:trPr>
        <w:tc>
          <w:tcPr>
            <w:tcW w:type="dxa" w:w="26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Issued by</w:t>
            </w:r>
          </w:p>
        </w:tc>
        <w:tc>
          <w:tcPr>
            <w:tcW w:type="dxa" w:w="74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[Organization name]</w:t>
            </w:r>
          </w:p>
        </w:tc>
      </w:tr>
      <w:tr>
        <w:trPr>
          <w:cantSplit/>
        </w:trPr>
        <w:tc>
          <w:tcPr>
            <w:tcW w:type="dxa" w:w="26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Contact for questions</w:t>
            </w:r>
          </w:p>
        </w:tc>
        <w:tc>
          <w:tcPr>
            <w:tcW w:type="dxa" w:w="74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[Name, title, email, phone]</w:t>
            </w:r>
          </w:p>
        </w:tc>
      </w:tr>
      <w:tr>
        <w:trPr>
          <w:cantSplit/>
        </w:trPr>
        <w:tc>
          <w:tcPr>
            <w:tcW w:type="dxa" w:w="26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Issue date</w:t>
            </w:r>
          </w:p>
        </w:tc>
        <w:tc>
          <w:tcPr>
            <w:tcW w:type="dxa" w:w="74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[Date]</w:t>
            </w:r>
          </w:p>
        </w:tc>
      </w:tr>
      <w:tr>
        <w:trPr>
          <w:cantSplit/>
        </w:trPr>
        <w:tc>
          <w:tcPr>
            <w:tcW w:type="dxa" w:w="26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Proposals due</w:t>
            </w:r>
          </w:p>
        </w:tc>
        <w:tc>
          <w:tcPr>
            <w:tcW w:type="dxa" w:w="74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[Date and time, time zone]</w:t>
            </w:r>
          </w:p>
        </w:tc>
      </w:tr>
    </w:tbl>
    <w:p>
      <w:pPr>
        <w:spacing w:after="120"/>
      </w:pPr>
    </w:p>
    <w:p>
      <w:pPr>
        <w:pStyle w:val="Heading1"/>
        <w:keepNext/>
      </w:pPr>
      <w:r>
        <w:rPr>
          <w:color w:val="426DAD"/>
        </w:rPr>
        <w:t xml:space="preserve">1  </w:t>
      </w:r>
      <w:r>
        <w:t xml:space="preserve">Overview</w:t>
      </w:r>
    </w:p>
    <w:p>
      <w:pPr>
        <w:spacing w:after="100"/>
      </w:pPr>
      <w:r>
        <w:rPr>
          <w:color w:val="2E5390"/>
          <w:shd w:fill="EAF1FA" w:color="auto" w:val="clear"/>
        </w:rPr>
        <w:t xml:space="preserve">[Organization name]</w:t>
      </w:r>
      <w:r>
        <w:t xml:space="preserve"> invites qualified contractors to propose on commercial window cleaning for the properties in Section 2. The contract term is </w:t>
      </w:r>
      <w:r>
        <w:rPr>
          <w:color w:val="2E5390"/>
          <w:shd w:fill="EAF1FA" w:color="auto" w:val="clear"/>
        </w:rPr>
        <w:t xml:space="preserve">[term]</w:t>
      </w:r>
      <w:r>
        <w:t xml:space="preserve"> starting </w:t>
      </w:r>
      <w:r>
        <w:rPr>
          <w:color w:val="2E5390"/>
          <w:shd w:fill="EAF1FA" w:color="auto" w:val="clear"/>
        </w:rPr>
        <w:t xml:space="preserve">[start date]</w:t>
      </w:r>
      <w:r>
        <w:t xml:space="preserve">.</w:t>
      </w:r>
    </w:p>
    <w:p>
      <w:pPr>
        <w:spacing w:after="100"/>
      </w:pPr>
      <w:r>
        <w:t xml:space="preserve">Every bidder receives the same scope, safety, insurance and pricing requirements. Price the scope as written. Put any alternate or exception in its own line, separate from the base price.</w:t>
      </w:r>
    </w:p>
    <w:p>
      <w:pPr>
        <w:pStyle w:val="Heading2"/>
        <w:keepNext/>
      </w:pPr>
      <w:r>
        <w:t xml:space="preserve">Key dates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blHeader/>
        </w:trPr>
        <w:tc>
          <w:tcPr>
            <w:tcW w:type="dxa" w:w="504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Event</w:t>
            </w:r>
          </w:p>
        </w:tc>
        <w:tc>
          <w:tcPr>
            <w:tcW w:type="dxa" w:w="504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Date</w:t>
            </w:r>
          </w:p>
        </w:tc>
      </w:tr>
      <w:tr>
        <w:trPr>
          <w:cantSplit/>
        </w:trPr>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RFP issued</w:t>
            </w:r>
          </w:p>
        </w:tc>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[Date]</w:t>
            </w:r>
          </w:p>
        </w:tc>
      </w:tr>
      <w:tr>
        <w:trPr>
          <w:cantSplit/>
        </w:trPr>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Site walk</w:t>
            </w:r>
          </w:p>
        </w:tc>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[Date, time and meeting point]</w:t>
            </w:r>
          </w:p>
        </w:tc>
      </w:tr>
      <w:tr>
        <w:trPr>
          <w:cantSplit/>
        </w:trPr>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Questions due, in writing</w:t>
            </w:r>
          </w:p>
        </w:tc>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[Date]</w:t>
            </w:r>
          </w:p>
        </w:tc>
      </w:tr>
      <w:tr>
        <w:trPr>
          <w:cantSplit/>
        </w:trPr>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Answers issued to all bidders</w:t>
            </w:r>
          </w:p>
        </w:tc>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[Date]</w:t>
            </w:r>
          </w:p>
        </w:tc>
      </w:tr>
      <w:tr>
        <w:trPr>
          <w:cantSplit/>
        </w:trPr>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Proposals due</w:t>
            </w:r>
          </w:p>
        </w:tc>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[Date and time]</w:t>
            </w:r>
          </w:p>
        </w:tc>
      </w:tr>
      <w:tr>
        <w:trPr>
          <w:cantSplit/>
        </w:trPr>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Target award</w:t>
            </w:r>
          </w:p>
        </w:tc>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[Date]</w:t>
            </w:r>
          </w:p>
        </w:tc>
      </w:tr>
      <w:tr>
        <w:trPr>
          <w:cantSplit/>
        </w:trPr>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Service start</w:t>
            </w:r>
          </w:p>
        </w:tc>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[Date]</w:t>
            </w:r>
          </w:p>
        </w:tc>
      </w:tr>
    </w:tbl>
    <w:p>
      <w:pPr>
        <w:spacing w:after="120"/>
      </w:pPr>
    </w:p>
    <w:p>
      <w:pPr>
        <w:pStyle w:val="Heading1"/>
        <w:keepNext/>
      </w:pPr>
      <w:r>
        <w:rPr>
          <w:color w:val="426DAD"/>
        </w:rPr>
        <w:t xml:space="preserve">2  </w:t>
      </w:r>
      <w:r>
        <w:t xml:space="preserve">Properties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00"/>
        <w:gridCol w:w="3080"/>
        <w:gridCol w:w="1100"/>
        <w:gridCol w:w="1300"/>
        <w:gridCol w:w="2200"/>
      </w:tblGrid>
      <w:tr>
        <w:trPr>
          <w:tblHeader/>
        </w:trPr>
        <w:tc>
          <w:tcPr>
            <w:tcW w:type="dxa" w:w="24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Property</w:t>
            </w:r>
          </w:p>
        </w:tc>
        <w:tc>
          <w:tcPr>
            <w:tcW w:type="dxa" w:w="308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Address</w:t>
            </w:r>
          </w:p>
        </w:tc>
        <w:tc>
          <w:tcPr>
            <w:tcW w:type="dxa" w:w="11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Stories</w:t>
            </w:r>
          </w:p>
        </w:tc>
        <w:tc>
          <w:tcPr>
            <w:tcW w:type="dxa" w:w="13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Elevations</w:t>
            </w:r>
          </w:p>
        </w:tc>
        <w:tc>
          <w:tcPr>
            <w:tcW w:type="dxa" w:w="22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Site contact</w:t>
            </w:r>
          </w:p>
        </w:tc>
      </w:tr>
      <w:tr>
        <w:trPr>
          <w:cantSplit/>
        </w:trPr>
        <w:tc>
          <w:tcPr>
            <w:tcW w:type="dxa" w:w="24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30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1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3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2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24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30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1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3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2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24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30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1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3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2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24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30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1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3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2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bl>
    <w:p>
      <w:pPr>
        <w:spacing w:after="120"/>
      </w:pPr>
    </w:p>
    <w:p>
      <w:pPr>
        <w:pStyle w:val="Heading2"/>
        <w:keepNext/>
      </w:pPr>
      <w:r>
        <w:t xml:space="preserve">Building details: complete one table per building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400"/>
        <w:gridCol w:w="6680"/>
      </w:tblGrid>
      <w:tr>
        <w:trPr>
          <w:tblHeader/>
        </w:trPr>
        <w:tc>
          <w:tcPr>
            <w:tcW w:type="dxa" w:w="34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Building details</w:t>
            </w:r>
          </w:p>
        </w:tc>
        <w:tc>
          <w:tcPr>
            <w:tcW w:type="dxa" w:w="668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tc>
      </w:tr>
      <w:tr>
        <w:trPr>
          <w:cantSplit/>
        </w:trPr>
        <w:tc>
          <w:tcPr>
            <w:tcW w:type="dxa" w:w="34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Building name</w:t>
            </w:r>
          </w:p>
        </w:tc>
        <w:tc>
          <w:tcPr>
            <w:tcW w:type="dxa" w:w="66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[Building name]</w:t>
            </w:r>
          </w:p>
        </w:tc>
      </w:tr>
      <w:tr>
        <w:trPr>
          <w:cantSplit/>
        </w:trPr>
        <w:tc>
          <w:tcPr>
            <w:tcW w:type="dxa" w:w="34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Height</w:t>
            </w:r>
          </w:p>
        </w:tc>
        <w:tc>
          <w:tcPr>
            <w:tcW w:type="dxa" w:w="66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[Stories]</w:t>
            </w:r>
          </w:p>
        </w:tc>
      </w:tr>
      <w:tr>
        <w:trPr>
          <w:cantSplit/>
        </w:trPr>
        <w:tc>
          <w:tcPr>
            <w:tcW w:type="dxa" w:w="34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Facade type</w:t>
            </w:r>
          </w:p>
        </w:tc>
        <w:tc>
          <w:tcPr>
            <w:tcW w:type="dxa" w:w="66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[Curtain wall, punched windows or mixed, by elevation]</w:t>
            </w:r>
          </w:p>
        </w:tc>
      </w:tr>
      <w:tr>
        <w:trPr>
          <w:cantSplit/>
        </w:trPr>
        <w:tc>
          <w:tcPr>
            <w:tcW w:type="dxa" w:w="34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Atriums, skylights, setbacks, canopies</w:t>
            </w:r>
          </w:p>
        </w:tc>
        <w:tc>
          <w:tcPr>
            <w:tcW w:type="dxa" w:w="66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[Describe, or none]</w:t>
            </w:r>
          </w:p>
        </w:tc>
      </w:tr>
      <w:tr>
        <w:trPr>
          <w:cantSplit/>
        </w:trPr>
        <w:tc>
          <w:tcPr>
            <w:tcW w:type="dxa" w:w="34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Roof access</w:t>
            </w:r>
          </w:p>
        </w:tc>
        <w:tc>
          <w:tcPr>
            <w:tcW w:type="dxa" w:w="66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[Hatch or door, keys, anyone who must be present]</w:t>
            </w:r>
          </w:p>
        </w:tc>
      </w:tr>
      <w:tr>
        <w:trPr>
          <w:cantSplit/>
        </w:trPr>
        <w:tc>
          <w:tcPr>
            <w:tcW w:type="dxa" w:w="34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Roof anchors</w:t>
            </w:r>
          </w:p>
        </w:tc>
        <w:tc>
          <w:tcPr>
            <w:tcW w:type="dxa" w:w="66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[Type; last inspection date; last certification date]</w:t>
            </w:r>
          </w:p>
        </w:tc>
      </w:tr>
      <w:tr>
        <w:trPr>
          <w:cantSplit/>
        </w:trPr>
        <w:tc>
          <w:tcPr>
            <w:tcW w:type="dxa" w:w="34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Loading dock, freight elevator, staging</w:t>
            </w:r>
          </w:p>
        </w:tc>
        <w:tc>
          <w:tcPr>
            <w:tcW w:type="dxa" w:w="66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[Describe]</w:t>
            </w:r>
          </w:p>
        </w:tc>
      </w:tr>
      <w:tr>
        <w:trPr>
          <w:cantSplit/>
        </w:trPr>
        <w:tc>
          <w:tcPr>
            <w:tcW w:type="dxa" w:w="34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Ground level</w:t>
            </w:r>
          </w:p>
        </w:tc>
        <w:tc>
          <w:tcPr>
            <w:tcW w:type="dxa" w:w="66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[Entrances, sidewalks, areas below the work]</w:t>
            </w:r>
          </w:p>
        </w:tc>
      </w:tr>
    </w:tbl>
    <w:p>
      <w:pPr>
        <w:spacing w:after="120"/>
      </w:pPr>
    </w:p>
    <w:p>
      <w:pPr>
        <w:pStyle w:val="Heading1"/>
        <w:keepNext/>
      </w:pPr>
      <w:r>
        <w:rPr>
          <w:color w:val="426DAD"/>
        </w:rPr>
        <w:t xml:space="preserve">3  </w:t>
      </w:r>
      <w:r>
        <w:t xml:space="preserve">Scope of work</w:t>
      </w:r>
    </w:p>
    <w:p>
      <w:pPr>
        <w:pStyle w:val="Heading2"/>
        <w:keepNext/>
      </w:pPr>
      <w:r>
        <w:t xml:space="preserve">Elevations and access method</w:t>
      </w:r>
    </w:p>
    <w:p>
      <w:pPr>
        <w:spacing w:after="100"/>
      </w:pPr>
      <w:r>
        <w:t xml:space="preserve">Name the access method for each elevation: pole, lift, rope descent or swing stage. If you want bidders to propose the method, say so, and require each bidder to state the method it priced.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2100"/>
        <w:gridCol w:w="1500"/>
        <w:gridCol w:w="2000"/>
        <w:gridCol w:w="2580"/>
      </w:tblGrid>
      <w:tr>
        <w:trPr>
          <w:tblHeader/>
        </w:trPr>
        <w:tc>
          <w:tcPr>
            <w:tcW w:type="dxa" w:w="19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Elevation</w:t>
            </w:r>
          </w:p>
        </w:tc>
        <w:tc>
          <w:tcPr>
            <w:tcW w:type="dxa" w:w="21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Facade type</w:t>
            </w:r>
          </w:p>
        </w:tc>
        <w:tc>
          <w:tcPr>
            <w:tcW w:type="dxa" w:w="15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Approx. panes</w:t>
            </w:r>
          </w:p>
        </w:tc>
        <w:tc>
          <w:tcPr>
            <w:tcW w:type="dxa" w:w="20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Sides</w:t>
            </w:r>
          </w:p>
        </w:tc>
        <w:tc>
          <w:tcPr>
            <w:tcW w:type="dxa" w:w="258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Access method</w:t>
            </w:r>
          </w:p>
        </w:tc>
      </w:tr>
      <w:tr>
        <w:trPr>
          <w:cantSplit/>
        </w:trPr>
        <w:tc>
          <w:tcPr>
            <w:tcW w:type="dxa" w:w="19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North</w:t>
            </w:r>
          </w:p>
        </w:tc>
        <w:tc>
          <w:tcPr>
            <w:tcW w:type="dxa" w:w="21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5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0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5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19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South</w:t>
            </w:r>
          </w:p>
        </w:tc>
        <w:tc>
          <w:tcPr>
            <w:tcW w:type="dxa" w:w="21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5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0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5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19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East</w:t>
            </w:r>
          </w:p>
        </w:tc>
        <w:tc>
          <w:tcPr>
            <w:tcW w:type="dxa" w:w="21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5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0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5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19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West</w:t>
            </w:r>
          </w:p>
        </w:tc>
        <w:tc>
          <w:tcPr>
            <w:tcW w:type="dxa" w:w="21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5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0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5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19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Entrances and lobby</w:t>
            </w:r>
          </w:p>
        </w:tc>
        <w:tc>
          <w:tcPr>
            <w:tcW w:type="dxa" w:w="21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5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0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5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19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Atriums and skylights</w:t>
            </w:r>
          </w:p>
        </w:tc>
        <w:tc>
          <w:tcPr>
            <w:tcW w:type="dxa" w:w="21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5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0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5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bl>
    <w:p>
      <w:pPr>
        <w:spacing w:after="120"/>
      </w:pPr>
    </w:p>
    <w:p>
      <w:pPr>
        <w:pStyle w:val="Heading2"/>
        <w:keepNext/>
      </w:pPr>
      <w:r>
        <w:t xml:space="preserve">Included in every cleaning</w:t>
      </w:r>
    </w:p>
    <w:p>
      <w:pPr>
        <w:pStyle w:val="ListParagraph"/>
        <w:numPr>
          <w:ilvl w:val="0"/>
          <w:numId w:val="2"/>
        </w:numPr>
        <w:spacing w:after="50"/>
      </w:pPr>
      <w:r>
        <w:t xml:space="preserve">Glass, frames and sills on every elevation in scope</w:t>
      </w:r>
    </w:p>
    <w:p>
      <w:pPr>
        <w:pStyle w:val="ListParagraph"/>
        <w:numPr>
          <w:ilvl w:val="0"/>
          <w:numId w:val="2"/>
        </w:numPr>
        <w:spacing w:after="50"/>
      </w:pPr>
      <w:r>
        <w:t xml:space="preserve">Interior glass: </w:t>
      </w:r>
      <w:r>
        <w:rPr>
          <w:color w:val="2E5390"/>
          <w:shd w:fill="EAF1FA" w:color="auto" w:val="clear"/>
        </w:rPr>
        <w:t xml:space="preserve">[common areas only / common areas and tenant suites / not included]</w:t>
      </w:r>
    </w:p>
    <w:p>
      <w:pPr>
        <w:pStyle w:val="ListParagraph"/>
        <w:numPr>
          <w:ilvl w:val="0"/>
          <w:numId w:val="2"/>
        </w:numPr>
        <w:spacing w:after="50"/>
      </w:pPr>
      <w:r>
        <w:t xml:space="preserve">Tenant suite glass, if included, priced as its own line so it can be billed where the lease puts it</w:t>
      </w:r>
    </w:p>
    <w:p>
      <w:pPr>
        <w:pStyle w:val="Heading2"/>
        <w:keepNext/>
      </w:pPr>
      <w:r>
        <w:t xml:space="preserve">Frequency and schedule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800"/>
        <w:gridCol w:w="1800"/>
        <w:gridCol w:w="4480"/>
      </w:tblGrid>
      <w:tr>
        <w:trPr>
          <w:tblHeader/>
        </w:trPr>
        <w:tc>
          <w:tcPr>
            <w:tcW w:type="dxa" w:w="38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Line item</w:t>
            </w:r>
          </w:p>
        </w:tc>
        <w:tc>
          <w:tcPr>
            <w:tcW w:type="dxa" w:w="18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Visits per year</w:t>
            </w:r>
          </w:p>
        </w:tc>
        <w:tc>
          <w:tcPr>
            <w:tcW w:type="dxa" w:w="448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Timing and seasonal windows</w:t>
            </w:r>
          </w:p>
        </w:tc>
      </w:tr>
      <w:tr>
        <w:trPr>
          <w:cantSplit/>
        </w:trPr>
        <w:tc>
          <w:tcPr>
            <w:tcW w:type="dxa" w:w="38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Exterior facade</w:t>
            </w:r>
          </w:p>
        </w:tc>
        <w:tc>
          <w:tcPr>
            <w:tcW w:type="dxa" w:w="18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44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38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Entrances and lobby glass, both sides</w:t>
            </w:r>
          </w:p>
        </w:tc>
        <w:tc>
          <w:tcPr>
            <w:tcW w:type="dxa" w:w="18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44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38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Common-area interior glass</w:t>
            </w:r>
          </w:p>
        </w:tc>
        <w:tc>
          <w:tcPr>
            <w:tcW w:type="dxa" w:w="18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44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38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Tenant suite glass</w:t>
            </w:r>
          </w:p>
        </w:tc>
        <w:tc>
          <w:tcPr>
            <w:tcW w:type="dxa" w:w="18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44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bl>
    <w:p>
      <w:pPr>
        <w:spacing w:after="120"/>
      </w:pPr>
    </w:p>
    <w:p>
      <w:pPr>
        <w:spacing w:after="100"/>
      </w:pPr>
      <w:r>
        <w:t xml:space="preserve">Bidders: state how weather days are handled, how rescheduling works and who pays for a canceled mobilization.</w:t>
      </w:r>
    </w:p>
    <w:p>
      <w:pPr>
        <w:pStyle w:val="Heading2"/>
        <w:keepNext/>
      </w:pPr>
      <w:r>
        <w:t xml:space="preserve">Add-ons: price separately, not in the base price</w:t>
      </w:r>
    </w:p>
    <w:p>
      <w:pPr>
        <w:pStyle w:val="ListParagraph"/>
        <w:numPr>
          <w:ilvl w:val="0"/>
          <w:numId w:val="2"/>
        </w:numPr>
        <w:spacing w:after="50"/>
      </w:pPr>
      <w:r>
        <w:t xml:space="preserve">Screens</w:t>
      </w:r>
    </w:p>
    <w:p>
      <w:pPr>
        <w:pStyle w:val="ListParagraph"/>
        <w:numPr>
          <w:ilvl w:val="0"/>
          <w:numId w:val="2"/>
        </w:numPr>
        <w:spacing w:after="50"/>
      </w:pPr>
      <w:r>
        <w:t xml:space="preserve">Tracks</w:t>
      </w:r>
    </w:p>
    <w:p>
      <w:pPr>
        <w:pStyle w:val="ListParagraph"/>
        <w:numPr>
          <w:ilvl w:val="0"/>
          <w:numId w:val="2"/>
        </w:numPr>
        <w:spacing w:after="50"/>
      </w:pPr>
      <w:r>
        <w:t xml:space="preserve">Hard-water stain removal</w:t>
      </w:r>
    </w:p>
    <w:p>
      <w:pPr>
        <w:pStyle w:val="ListParagraph"/>
        <w:numPr>
          <w:ilvl w:val="0"/>
          <w:numId w:val="2"/>
        </w:numPr>
        <w:spacing w:after="50"/>
      </w:pPr>
      <w:r>
        <w:t xml:space="preserve">First-time clean</w:t>
      </w:r>
    </w:p>
    <w:p>
      <w:pPr>
        <w:pStyle w:val="ListParagraph"/>
        <w:numPr>
          <w:ilvl w:val="0"/>
          <w:numId w:val="2"/>
        </w:numPr>
        <w:spacing w:after="50"/>
      </w:pPr>
      <w:r>
        <w:t xml:space="preserve">Post-construction clean</w:t>
      </w:r>
    </w:p>
    <w:p>
      <w:pPr>
        <w:pStyle w:val="ListParagraph"/>
        <w:numPr>
          <w:ilvl w:val="0"/>
          <w:numId w:val="2"/>
        </w:numPr>
        <w:spacing w:after="50"/>
      </w:pPr>
      <w:r>
        <w:t xml:space="preserve">After-hours work: </w:t>
      </w:r>
      <w:r>
        <w:rPr>
          <w:color w:val="2E5390"/>
          <w:shd w:fill="EAF1FA" w:color="auto" w:val="clear"/>
        </w:rPr>
        <w:t xml:space="preserve">[describe, or delete]</w:t>
      </w:r>
    </w:p>
    <w:p>
      <w:pPr>
        <w:pStyle w:val="Heading1"/>
        <w:keepNext/>
      </w:pPr>
      <w:r>
        <w:rPr>
          <w:color w:val="426DAD"/>
        </w:rPr>
        <w:t xml:space="preserve">4  </w:t>
      </w:r>
      <w:r>
        <w:t xml:space="preserve">Safety and compliance</w:t>
      </w:r>
    </w:p>
    <w:p>
      <w:pPr>
        <w:pStyle w:val="ListParagraph"/>
        <w:numPr>
          <w:ilvl w:val="0"/>
          <w:numId w:val="3"/>
        </w:numPr>
        <w:spacing w:after="50"/>
      </w:pPr>
      <w:r>
        <w:t xml:space="preserve">A site-specific safety plan for all at-height work, delivered before work starts</w:t>
      </w:r>
    </w:p>
    <w:p>
      <w:pPr>
        <w:pStyle w:val="ListParagraph"/>
        <w:numPr>
          <w:ilvl w:val="0"/>
          <w:numId w:val="3"/>
        </w:numPr>
        <w:spacing w:after="50"/>
      </w:pPr>
      <w:r>
        <w:t xml:space="preserve">Technicians certified before any at-height work</w:t>
      </w:r>
    </w:p>
    <w:p>
      <w:pPr>
        <w:pStyle w:val="ListParagraph"/>
        <w:numPr>
          <w:ilvl w:val="0"/>
          <w:numId w:val="3"/>
        </w:numPr>
        <w:spacing w:after="50"/>
      </w:pPr>
      <w:r>
        <w:t xml:space="preserve">Inspection records for lifts, swing stages and rope-access equipment</w:t>
      </w:r>
    </w:p>
    <w:p>
      <w:pPr>
        <w:pStyle w:val="ListParagraph"/>
        <w:numPr>
          <w:ilvl w:val="0"/>
          <w:numId w:val="3"/>
        </w:numPr>
        <w:spacing w:after="50"/>
      </w:pPr>
      <w:r>
        <w:t xml:space="preserve">Safety performance for the last three years: </w:t>
      </w:r>
      <w:r>
        <w:rPr>
          <w:color w:val="2E5390"/>
          <w:shd w:fill="EAF1FA" w:color="auto" w:val="clear"/>
        </w:rPr>
        <w:t xml:space="preserve">[EMR and TRIR, if your process uses them, or delete]</w:t>
      </w:r>
    </w:p>
    <w:p>
      <w:pPr>
        <w:pStyle w:val="Heading2"/>
        <w:keepNext/>
      </w:pPr>
      <w:r>
        <w:t xml:space="preserve">Roof anchors</w:t>
      </w:r>
    </w:p>
    <w:p>
      <w:pPr>
        <w:spacing w:after="100"/>
      </w:pPr>
      <w:r>
        <w:t xml:space="preserve">Under OSHA 29 CFR 1910.27, before any rope descent system is used, the building owner must confirm in writing that each anchorage has been identified, tested, certified and maintained to support at least 5,000 pounds in any direction for each worker attached, based on an annual inspection and certification at least every 10 years.</w:t>
      </w:r>
    </w:p>
    <w:p>
      <w:pPr>
        <w:spacing w:after="100"/>
      </w:pPr>
      <w:r>
        <w:t xml:space="preserve">Anchorage documentation: </w:t>
      </w:r>
      <w:r>
        <w:rPr>
          <w:color w:val="2E5390"/>
          <w:shd w:fill="EAF1FA" w:color="auto" w:val="clear"/>
        </w:rPr>
        <w:t xml:space="preserve">[Owner will provide written certification before rope descent work begins / Certification is due: price anchor inspection and certification as an alternate]</w:t>
      </w:r>
    </w:p>
    <w:p>
      <w:pPr>
        <w:spacing w:after="100"/>
      </w:pPr>
      <w:r>
        <w:t xml:space="preserve">Bidders: confirm that no rope descent work will start before the written certification is in hand.</w:t>
      </w:r>
    </w:p>
    <w:p>
      <w:pPr>
        <w:pStyle w:val="Heading1"/>
        <w:keepNext/>
      </w:pPr>
      <w:r>
        <w:rPr>
          <w:color w:val="426DAD"/>
        </w:rPr>
        <w:t xml:space="preserve">5  </w:t>
      </w:r>
      <w:r>
        <w:t xml:space="preserve">Insurance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blHeader/>
        </w:trPr>
        <w:tc>
          <w:tcPr>
            <w:tcW w:type="dxa" w:w="504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Coverage</w:t>
            </w:r>
          </w:p>
        </w:tc>
        <w:tc>
          <w:tcPr>
            <w:tcW w:type="dxa" w:w="504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Minimum limit</w:t>
            </w:r>
          </w:p>
        </w:tc>
      </w:tr>
      <w:tr>
        <w:trPr>
          <w:cantSplit/>
        </w:trPr>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General liability</w:t>
            </w:r>
          </w:p>
        </w:tc>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[Set with your risk manager]</w:t>
            </w:r>
          </w:p>
        </w:tc>
      </w:tr>
      <w:tr>
        <w:trPr>
          <w:cantSplit/>
        </w:trPr>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Automobile liability</w:t>
            </w:r>
          </w:p>
        </w:tc>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[Set with your risk manager]</w:t>
            </w:r>
          </w:p>
        </w:tc>
      </w:tr>
      <w:tr>
        <w:trPr>
          <w:cantSplit/>
        </w:trPr>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Workers compensation</w:t>
            </w:r>
          </w:p>
        </w:tc>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[Statutory, or as your risk manager sets]</w:t>
            </w:r>
          </w:p>
        </w:tc>
      </w:tr>
      <w:tr>
        <w:trPr>
          <w:cantSplit/>
        </w:trPr>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Umbrella or excess liability</w:t>
            </w:r>
          </w:p>
        </w:tc>
        <w:tc>
          <w:tcPr>
            <w:tcW w:type="dxa" w:w="504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color w:val="2E5390"/>
                <w:shd w:fill="EAF1FA" w:color="auto" w:val="clear"/>
              </w:rPr>
              <w:t xml:space="preserve">[Set with your risk manager]</w:t>
            </w:r>
          </w:p>
        </w:tc>
      </w:tr>
    </w:tbl>
    <w:p>
      <w:pPr>
        <w:spacing w:after="120"/>
      </w:pPr>
    </w:p>
    <w:p>
      <w:pPr>
        <w:pStyle w:val="ListParagraph"/>
        <w:numPr>
          <w:ilvl w:val="0"/>
          <w:numId w:val="2"/>
        </w:numPr>
        <w:spacing w:after="50"/>
      </w:pPr>
      <w:r>
        <w:t xml:space="preserve">A certificate of insurance (ACORD 25) for every policy above, naming </w:t>
      </w:r>
      <w:r>
        <w:rPr>
          <w:color w:val="2E5390"/>
          <w:shd w:fill="EAF1FA" w:color="auto" w:val="clear"/>
        </w:rPr>
        <w:t xml:space="preserve">[property and ownership entities]</w:t>
      </w:r>
      <w:r>
        <w:t xml:space="preserve"> as certificate holder, delivered before work starts</w:t>
      </w:r>
    </w:p>
    <w:p>
      <w:pPr>
        <w:pStyle w:val="ListParagraph"/>
        <w:numPr>
          <w:ilvl w:val="0"/>
          <w:numId w:val="2"/>
        </w:numPr>
        <w:spacing w:after="50"/>
      </w:pPr>
      <w:r>
        <w:t xml:space="preserve">Endorsements, not just the certificate, where this contract requires them: additional insured, waiver of subrogation, primary and non-contributory</w:t>
      </w:r>
    </w:p>
    <w:p>
      <w:pPr>
        <w:pStyle w:val="ListParagraph"/>
        <w:numPr>
          <w:ilvl w:val="0"/>
          <w:numId w:val="2"/>
        </w:numPr>
        <w:spacing w:after="50"/>
      </w:pPr>
      <w:r>
        <w:t xml:space="preserve">Coverage for every crew on site, including any subcontractor</w:t>
      </w:r>
    </w:p>
    <w:p>
      <w:pPr>
        <w:pStyle w:val="ListParagraph"/>
        <w:numPr>
          <w:ilvl w:val="0"/>
          <w:numId w:val="2"/>
        </w:numPr>
        <w:spacing w:after="50"/>
      </w:pPr>
      <w:r>
        <w:t xml:space="preserve">Renewal certificates before any policy lapses</w:t>
      </w:r>
    </w:p>
    <w:p>
      <w:pPr>
        <w:pStyle w:val="Heading1"/>
        <w:keepNext/>
      </w:pPr>
      <w:r>
        <w:rPr>
          <w:color w:val="426DAD"/>
        </w:rPr>
        <w:t xml:space="preserve">6  </w:t>
      </w:r>
      <w:r>
        <w:t xml:space="preserve">Workforce</w:t>
      </w:r>
    </w:p>
    <w:p>
      <w:pPr>
        <w:pStyle w:val="ListParagraph"/>
        <w:numPr>
          <w:ilvl w:val="0"/>
          <w:numId w:val="2"/>
        </w:numPr>
        <w:spacing w:after="50"/>
      </w:pPr>
      <w:r>
        <w:t xml:space="preserve">State whether the crews on these properties are your W2 employees or subcontractors.</w:t>
      </w:r>
    </w:p>
    <w:p>
      <w:pPr>
        <w:pStyle w:val="ListParagraph"/>
        <w:numPr>
          <w:ilvl w:val="0"/>
          <w:numId w:val="2"/>
        </w:numPr>
        <w:spacing w:after="50"/>
      </w:pPr>
      <w:r>
        <w:t xml:space="preserve">Name any subcontractor, the work it would do, and confirm it meets every insurance and safety requirement in this RFP.</w:t>
      </w:r>
    </w:p>
    <w:p>
      <w:pPr>
        <w:pStyle w:val="Heading1"/>
        <w:keepNext/>
      </w:pPr>
      <w:r>
        <w:rPr>
          <w:color w:val="426DAD"/>
        </w:rPr>
        <w:t xml:space="preserve">7  </w:t>
      </w:r>
      <w:r>
        <w:t xml:space="preserve">Tenant and site coordination</w:t>
      </w:r>
    </w:p>
    <w:p>
      <w:pPr>
        <w:pStyle w:val="ListParagraph"/>
        <w:numPr>
          <w:ilvl w:val="0"/>
          <w:numId w:val="2"/>
        </w:numPr>
        <w:spacing w:after="50"/>
      </w:pPr>
      <w:r>
        <w:t xml:space="preserve">Tenant notice: </w:t>
      </w:r>
      <w:r>
        <w:rPr>
          <w:color w:val="2E5390"/>
          <w:shd w:fill="EAF1FA" w:color="auto" w:val="clear"/>
        </w:rPr>
        <w:t xml:space="preserve">[who sends it]</w:t>
      </w:r>
      <w:r>
        <w:t xml:space="preserve"> sends it </w:t>
      </w:r>
      <w:r>
        <w:rPr>
          <w:color w:val="2E5390"/>
          <w:shd w:fill="EAF1FA" w:color="auto" w:val="clear"/>
        </w:rPr>
        <w:t xml:space="preserve">[how far ahead]</w:t>
      </w:r>
      <w:r>
        <w:t xml:space="preserve">. Bidders provide the schedule by floor or elevation.</w:t>
      </w:r>
    </w:p>
    <w:p>
      <w:pPr>
        <w:pStyle w:val="ListParagraph"/>
        <w:numPr>
          <w:ilvl w:val="0"/>
          <w:numId w:val="2"/>
        </w:numPr>
        <w:spacing w:after="50"/>
      </w:pPr>
      <w:r>
        <w:t xml:space="preserve">Roof and suite access: keys, escorts and areas that are off limits: </w:t>
      </w:r>
      <w:r>
        <w:rPr>
          <w:color w:val="2E5390"/>
          <w:shd w:fill="EAF1FA" w:color="auto" w:val="clear"/>
        </w:rPr>
        <w:t xml:space="preserve">[describe]</w:t>
      </w:r>
    </w:p>
    <w:p>
      <w:pPr>
        <w:pStyle w:val="ListParagraph"/>
        <w:numPr>
          <w:ilvl w:val="0"/>
          <w:numId w:val="2"/>
        </w:numPr>
        <w:spacing w:after="50"/>
      </w:pPr>
      <w:r>
        <w:t xml:space="preserve">Ground level: bidders describe safety zones below the work, entrance routing and how any sidewalk closure is handled.</w:t>
      </w:r>
    </w:p>
    <w:p>
      <w:pPr>
        <w:pStyle w:val="ListParagraph"/>
        <w:numPr>
          <w:ilvl w:val="0"/>
          <w:numId w:val="2"/>
        </w:numPr>
        <w:spacing w:after="50"/>
      </w:pPr>
      <w:r>
        <w:t xml:space="preserve">Sensitive tenants: </w:t>
      </w:r>
      <w:r>
        <w:rPr>
          <w:color w:val="2E5390"/>
          <w:shd w:fill="EAF1FA" w:color="auto" w:val="clear"/>
        </w:rPr>
        <w:t xml:space="preserve">[medical, legal, government or financial tenants with special requirements, or none]</w:t>
      </w:r>
    </w:p>
    <w:p>
      <w:pPr>
        <w:pStyle w:val="ListParagraph"/>
        <w:numPr>
          <w:ilvl w:val="0"/>
          <w:numId w:val="2"/>
        </w:numPr>
        <w:spacing w:after="50"/>
      </w:pPr>
      <w:r>
        <w:t xml:space="preserve">After-hours requirements: </w:t>
      </w:r>
      <w:r>
        <w:rPr>
          <w:color w:val="2E5390"/>
          <w:shd w:fill="EAF1FA" w:color="auto" w:val="clear"/>
        </w:rPr>
        <w:t xml:space="preserve">[describe, or none]</w:t>
      </w:r>
    </w:p>
    <w:p>
      <w:pPr>
        <w:pStyle w:val="Heading1"/>
        <w:keepNext/>
      </w:pPr>
      <w:r>
        <w:rPr>
          <w:color w:val="426DAD"/>
        </w:rPr>
        <w:t xml:space="preserve">8  </w:t>
      </w:r>
      <w:r>
        <w:t xml:space="preserve">Service standards</w:t>
      </w:r>
    </w:p>
    <w:p>
      <w:pPr>
        <w:pStyle w:val="ListParagraph"/>
        <w:numPr>
          <w:ilvl w:val="0"/>
          <w:numId w:val="2"/>
        </w:numPr>
        <w:spacing w:after="50"/>
      </w:pPr>
      <w:r>
        <w:t xml:space="preserve">One point of contact with authority to resolve problems at every property</w:t>
      </w:r>
    </w:p>
    <w:p>
      <w:pPr>
        <w:pStyle w:val="ListParagraph"/>
        <w:numPr>
          <w:ilvl w:val="0"/>
          <w:numId w:val="2"/>
        </w:numPr>
        <w:spacing w:after="50"/>
      </w:pPr>
      <w:r>
        <w:t xml:space="preserve">Confirmation after each visit of what was completed</w:t>
      </w:r>
    </w:p>
    <w:p>
      <w:pPr>
        <w:pStyle w:val="ListParagraph"/>
        <w:numPr>
          <w:ilvl w:val="0"/>
          <w:numId w:val="2"/>
        </w:numPr>
        <w:spacing w:after="50"/>
      </w:pPr>
      <w:r>
        <w:t xml:space="preserve">How missed areas are reported and resolved, and how quickly: bidder to propose</w:t>
      </w:r>
    </w:p>
    <w:p>
      <w:pPr>
        <w:pStyle w:val="ListParagraph"/>
        <w:numPr>
          <w:ilvl w:val="0"/>
          <w:numId w:val="2"/>
        </w:numPr>
        <w:spacing w:after="50"/>
      </w:pPr>
      <w:r>
        <w:t xml:space="preserve">Advance notice of any weather rescheduling</w:t>
      </w:r>
    </w:p>
    <w:p>
      <w:pPr>
        <w:pStyle w:val="Heading1"/>
        <w:keepNext/>
      </w:pPr>
      <w:r>
        <w:rPr>
          <w:color w:val="426DAD"/>
        </w:rPr>
        <w:t xml:space="preserve">9  </w:t>
      </w:r>
      <w:r>
        <w:t xml:space="preserve">Pricing</w:t>
      </w:r>
    </w:p>
    <w:p>
      <w:pPr>
        <w:spacing w:after="100"/>
      </w:pPr>
      <w:r>
        <w:t xml:space="preserve">Price per visit, broken out by building and elevation, with add-ons, mobilization, escalators and surcharges as separate lines. Bids that do not use this format may not be comparable.</w:t>
      </w:r>
    </w:p>
    <w:p>
      <w:pPr>
        <w:pStyle w:val="Heading2"/>
        <w:keepNext/>
      </w:pPr>
      <w:r>
        <w:t xml:space="preserve">A. Base price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2780"/>
        <w:gridCol w:w="1500"/>
        <w:gridCol w:w="1700"/>
        <w:gridCol w:w="1800"/>
      </w:tblGrid>
      <w:tr>
        <w:trPr>
          <w:tblHeader/>
        </w:trPr>
        <w:tc>
          <w:tcPr>
            <w:tcW w:type="dxa" w:w="23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Building</w:t>
            </w:r>
          </w:p>
        </w:tc>
        <w:tc>
          <w:tcPr>
            <w:tcW w:type="dxa" w:w="278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Line item</w:t>
            </w:r>
          </w:p>
        </w:tc>
        <w:tc>
          <w:tcPr>
            <w:tcW w:type="dxa" w:w="15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Visits per year</w:t>
            </w:r>
          </w:p>
        </w:tc>
        <w:tc>
          <w:tcPr>
            <w:tcW w:type="dxa" w:w="17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Price per visit ($)</w:t>
            </w:r>
          </w:p>
        </w:tc>
        <w:tc>
          <w:tcPr>
            <w:tcW w:type="dxa" w:w="18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Annual price ($)</w:t>
            </w:r>
          </w:p>
        </w:tc>
      </w:tr>
      <w:tr>
        <w:trPr>
          <w:cantSplit/>
        </w:trPr>
        <w:tc>
          <w:tcPr>
            <w:tcW w:type="dxa" w:w="23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7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5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8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23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7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5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8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23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7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5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8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23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7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5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8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23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7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5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8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23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7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5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18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c>
          <w:tcPr>
            <w:tcW w:type="dxa" w:w="2300"/>
            <w:tcBorders>
              <w:top w:val="single" w:color="E7ECF2" w:sz="4"/>
              <w:left w:val="single" w:color="E7ECF2" w:sz="4"/>
              <w:bottom w:val="single" w:color="E7ECF2" w:sz="4"/>
              <w:right w:val="single" w:color="E7ECF2" w:sz="4"/>
            </w:tcBorders>
            <w:shd w:fill="F4F7FA" w:color="auto" w:val="clear"/>
            <w:tcMar>
              <w:top w:type="dxa" w:w="70"/>
              <w:left w:type="dxa" w:w="110"/>
              <w:bottom w:type="dxa" w:w="70"/>
              <w:right w:type="dxa" w:w="110"/>
            </w:tcMar>
            <w:vAlign w:val="center"/>
          </w:tcPr>
          <w:p>
            <w:r>
              <w:rPr>
                <w:b/>
                <w:bCs/>
                <w:color w:val="1B2C44"/>
              </w:rPr>
              <w:t xml:space="preserve">Total</w:t>
            </w:r>
          </w:p>
        </w:tc>
        <w:tc>
          <w:tcPr>
            <w:tcW w:type="dxa" w:w="2780"/>
            <w:tcBorders>
              <w:top w:val="single" w:color="E7ECF2" w:sz="4"/>
              <w:left w:val="single" w:color="E7ECF2" w:sz="4"/>
              <w:bottom w:val="single" w:color="E7ECF2" w:sz="4"/>
              <w:right w:val="single" w:color="E7ECF2" w:sz="4"/>
            </w:tcBorders>
            <w:shd w:fill="F4F7FA" w:color="auto" w:val="clear"/>
            <w:tcMar>
              <w:top w:type="dxa" w:w="70"/>
              <w:left w:type="dxa" w:w="110"/>
              <w:bottom w:type="dxa" w:w="70"/>
              <w:right w:type="dxa" w:w="110"/>
            </w:tcMar>
            <w:vAlign w:val="center"/>
          </w:tcPr>
          <w:p/>
        </w:tc>
        <w:tc>
          <w:tcPr>
            <w:tcW w:type="dxa" w:w="1500"/>
            <w:tcBorders>
              <w:top w:val="single" w:color="E7ECF2" w:sz="4"/>
              <w:left w:val="single" w:color="E7ECF2" w:sz="4"/>
              <w:bottom w:val="single" w:color="E7ECF2" w:sz="4"/>
              <w:right w:val="single" w:color="E7ECF2" w:sz="4"/>
            </w:tcBorders>
            <w:shd w:fill="F4F7FA" w:color="auto" w:val="clear"/>
            <w:tcMar>
              <w:top w:type="dxa" w:w="70"/>
              <w:left w:type="dxa" w:w="110"/>
              <w:bottom w:type="dxa" w:w="70"/>
              <w:right w:type="dxa" w:w="110"/>
            </w:tcMar>
            <w:vAlign w:val="center"/>
          </w:tcPr>
          <w:p/>
        </w:tc>
        <w:tc>
          <w:tcPr>
            <w:tcW w:type="dxa" w:w="1700"/>
            <w:tcBorders>
              <w:top w:val="single" w:color="E7ECF2" w:sz="4"/>
              <w:left w:val="single" w:color="E7ECF2" w:sz="4"/>
              <w:bottom w:val="single" w:color="E7ECF2" w:sz="4"/>
              <w:right w:val="single" w:color="E7ECF2" w:sz="4"/>
            </w:tcBorders>
            <w:shd w:fill="F4F7FA" w:color="auto" w:val="clear"/>
            <w:tcMar>
              <w:top w:type="dxa" w:w="70"/>
              <w:left w:type="dxa" w:w="110"/>
              <w:bottom w:type="dxa" w:w="70"/>
              <w:right w:type="dxa" w:w="110"/>
            </w:tcMar>
            <w:vAlign w:val="center"/>
          </w:tcPr>
          <w:p/>
        </w:tc>
        <w:tc>
          <w:tcPr>
            <w:tcW w:type="dxa" w:w="18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bl>
    <w:p>
      <w:pPr>
        <w:spacing w:after="120"/>
      </w:pPr>
    </w:p>
    <w:p>
      <w:pPr>
        <w:pStyle w:val="Heading2"/>
        <w:keepNext/>
      </w:pPr>
      <w:r>
        <w:t xml:space="preserve">B. Add-ons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680"/>
        <w:gridCol w:w="2700"/>
        <w:gridCol w:w="2700"/>
      </w:tblGrid>
      <w:tr>
        <w:trPr>
          <w:tblHeader/>
        </w:trPr>
        <w:tc>
          <w:tcPr>
            <w:tcW w:type="dxa" w:w="468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Add-on</w:t>
            </w:r>
          </w:p>
        </w:tc>
        <w:tc>
          <w:tcPr>
            <w:tcW w:type="dxa" w:w="27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Unit (per pane, per visit, per hour)</w:t>
            </w:r>
          </w:p>
        </w:tc>
        <w:tc>
          <w:tcPr>
            <w:tcW w:type="dxa" w:w="27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Price ($)</w:t>
            </w:r>
          </w:p>
        </w:tc>
      </w:tr>
      <w:tr>
        <w:trPr>
          <w:cantSplit/>
        </w:trPr>
        <w:tc>
          <w:tcPr>
            <w:tcW w:type="dxa" w:w="46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Screens</w:t>
            </w:r>
          </w:p>
        </w:tc>
        <w:tc>
          <w:tcPr>
            <w:tcW w:type="dxa" w:w="2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46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Tracks</w:t>
            </w:r>
          </w:p>
        </w:tc>
        <w:tc>
          <w:tcPr>
            <w:tcW w:type="dxa" w:w="2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46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Hard-water stain removal</w:t>
            </w:r>
          </w:p>
        </w:tc>
        <w:tc>
          <w:tcPr>
            <w:tcW w:type="dxa" w:w="2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46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First-time clean</w:t>
            </w:r>
          </w:p>
        </w:tc>
        <w:tc>
          <w:tcPr>
            <w:tcW w:type="dxa" w:w="2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46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Post-construction clean</w:t>
            </w:r>
          </w:p>
        </w:tc>
        <w:tc>
          <w:tcPr>
            <w:tcW w:type="dxa" w:w="2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46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After-hours premium</w:t>
            </w:r>
          </w:p>
        </w:tc>
        <w:tc>
          <w:tcPr>
            <w:tcW w:type="dxa" w:w="2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46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Anchor inspection and certification (alternate)</w:t>
            </w:r>
          </w:p>
        </w:tc>
        <w:tc>
          <w:tcPr>
            <w:tcW w:type="dxa" w:w="2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c>
          <w:tcPr>
            <w:tcW w:type="dxa" w:w="27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bl>
    <w:p>
      <w:pPr>
        <w:spacing w:after="120"/>
      </w:pPr>
    </w:p>
    <w:p>
      <w:pPr>
        <w:pStyle w:val="Heading2"/>
        <w:keepNext/>
      </w:pPr>
      <w:r>
        <w:t xml:space="preserve">C. Contract terms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080"/>
        <w:gridCol w:w="6000"/>
      </w:tblGrid>
      <w:tr>
        <w:trPr>
          <w:tblHeader/>
        </w:trPr>
        <w:tc>
          <w:tcPr>
            <w:tcW w:type="dxa" w:w="408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Term</w:t>
            </w:r>
          </w:p>
        </w:tc>
        <w:tc>
          <w:tcPr>
            <w:tcW w:type="dxa" w:w="60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Bidder's answer</w:t>
            </w:r>
          </w:p>
        </w:tc>
      </w:tr>
      <w:tr>
        <w:trPr>
          <w:cantSplit/>
        </w:trPr>
        <w:tc>
          <w:tcPr>
            <w:tcW w:type="dxa" w:w="40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Mobilization charges</w:t>
            </w:r>
          </w:p>
        </w:tc>
        <w:tc>
          <w:tcPr>
            <w:tcW w:type="dxa" w:w="60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40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Annual escalator: fixed % or index; which index; cap</w:t>
            </w:r>
          </w:p>
        </w:tc>
        <w:tc>
          <w:tcPr>
            <w:tcW w:type="dxa" w:w="60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40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Fuel surcharge: index, baseline, formula, cap</w:t>
            </w:r>
          </w:p>
        </w:tc>
        <w:tc>
          <w:tcPr>
            <w:tcW w:type="dxa" w:w="60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40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Auto-renewal, and notice needed to end it</w:t>
            </w:r>
          </w:p>
        </w:tc>
        <w:tc>
          <w:tcPr>
            <w:tcW w:type="dxa" w:w="60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40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Termination for convenience, and notice</w:t>
            </w:r>
          </w:p>
        </w:tc>
        <w:tc>
          <w:tcPr>
            <w:tcW w:type="dxa" w:w="60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40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Minimum spend or number of visits</w:t>
            </w:r>
          </w:p>
        </w:tc>
        <w:tc>
          <w:tcPr>
            <w:tcW w:type="dxa" w:w="60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40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Weather days and canceled mobilizations</w:t>
            </w:r>
          </w:p>
        </w:tc>
        <w:tc>
          <w:tcPr>
            <w:tcW w:type="dxa" w:w="60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40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Payment terms</w:t>
            </w:r>
          </w:p>
        </w:tc>
        <w:tc>
          <w:tcPr>
            <w:tcW w:type="dxa" w:w="60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408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Rates for adding buildings</w:t>
            </w:r>
          </w:p>
        </w:tc>
        <w:tc>
          <w:tcPr>
            <w:tcW w:type="dxa" w:w="600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bl>
    <w:p>
      <w:pPr>
        <w:spacing w:after="120"/>
      </w:pPr>
    </w:p>
    <w:p>
      <w:pPr>
        <w:pStyle w:val="Heading1"/>
        <w:keepNext/>
      </w:pPr>
      <w:r>
        <w:rPr>
          <w:color w:val="426DAD"/>
        </w:rPr>
        <w:t xml:space="preserve">10  </w:t>
      </w:r>
      <w:r>
        <w:t xml:space="preserve">What to include in your proposal</w:t>
      </w:r>
    </w:p>
    <w:p>
      <w:pPr>
        <w:pStyle w:val="ListParagraph"/>
        <w:numPr>
          <w:ilvl w:val="0"/>
          <w:numId w:val="3"/>
        </w:numPr>
        <w:spacing w:after="50"/>
      </w:pPr>
      <w:r>
        <w:t xml:space="preserve">The completed pricing tables in Section 9</w:t>
      </w:r>
    </w:p>
    <w:p>
      <w:pPr>
        <w:pStyle w:val="ListParagraph"/>
        <w:numPr>
          <w:ilvl w:val="0"/>
          <w:numId w:val="3"/>
        </w:numPr>
        <w:spacing w:after="50"/>
      </w:pPr>
      <w:r>
        <w:t xml:space="preserve">Your safety program summary and how you prepare site-specific safety plans</w:t>
      </w:r>
    </w:p>
    <w:p>
      <w:pPr>
        <w:pStyle w:val="ListParagraph"/>
        <w:numPr>
          <w:ilvl w:val="0"/>
          <w:numId w:val="3"/>
        </w:numPr>
        <w:spacing w:after="50"/>
      </w:pPr>
      <w:r>
        <w:t xml:space="preserve">Technician certifications for at-height work</w:t>
      </w:r>
    </w:p>
    <w:p>
      <w:pPr>
        <w:pStyle w:val="ListParagraph"/>
        <w:numPr>
          <w:ilvl w:val="0"/>
          <w:numId w:val="3"/>
        </w:numPr>
        <w:spacing w:after="50"/>
      </w:pPr>
      <w:r>
        <w:t xml:space="preserve">Certificates of insurance and the endorsements in Section 5</w:t>
      </w:r>
    </w:p>
    <w:p>
      <w:pPr>
        <w:pStyle w:val="ListParagraph"/>
        <w:numPr>
          <w:ilvl w:val="0"/>
          <w:numId w:val="3"/>
        </w:numPr>
        <w:spacing w:after="50"/>
      </w:pPr>
      <w:r>
        <w:t xml:space="preserve">Your workforce statement (Section 6)</w:t>
      </w:r>
    </w:p>
    <w:p>
      <w:pPr>
        <w:pStyle w:val="ListParagraph"/>
        <w:numPr>
          <w:ilvl w:val="0"/>
          <w:numId w:val="3"/>
        </w:numPr>
        <w:spacing w:after="50"/>
      </w:pPr>
      <w:r>
        <w:t xml:space="preserve">Three references on buildings like these, at similar height and scale, with contacts</w:t>
      </w:r>
    </w:p>
    <w:p>
      <w:pPr>
        <w:pStyle w:val="ListParagraph"/>
        <w:numPr>
          <w:ilvl w:val="0"/>
          <w:numId w:val="3"/>
        </w:numPr>
        <w:spacing w:after="50"/>
      </w:pPr>
      <w:r>
        <w:t xml:space="preserve">Confirmation that you can complete </w:t>
      </w:r>
      <w:r>
        <w:rPr>
          <w:color w:val="2E5390"/>
          <w:shd w:fill="EAF1FA" w:color="auto" w:val="clear"/>
        </w:rPr>
        <w:t xml:space="preserve">[vendor onboarding or compliance platform]</w:t>
      </w:r>
    </w:p>
    <w:p>
      <w:pPr>
        <w:pStyle w:val="ListParagraph"/>
        <w:numPr>
          <w:ilvl w:val="0"/>
          <w:numId w:val="3"/>
        </w:numPr>
        <w:spacing w:after="50"/>
      </w:pPr>
      <w:r>
        <w:t xml:space="preserve">Your proposed schedule for the first year</w:t>
      </w:r>
    </w:p>
    <w:p>
      <w:pPr>
        <w:pStyle w:val="ListParagraph"/>
        <w:numPr>
          <w:ilvl w:val="0"/>
          <w:numId w:val="3"/>
        </w:numPr>
        <w:spacing w:after="50"/>
      </w:pPr>
      <w:r>
        <w:t xml:space="preserve">Any exceptions to this RFP, listed separately</w:t>
      </w:r>
    </w:p>
    <w:p>
      <w:pPr>
        <w:pStyle w:val="Heading1"/>
        <w:keepNext/>
      </w:pPr>
      <w:r>
        <w:rPr>
          <w:color w:val="426DAD"/>
        </w:rPr>
        <w:t xml:space="preserve">11  </w:t>
      </w:r>
      <w:r>
        <w:t xml:space="preserve">Evaluation</w:t>
      </w:r>
    </w:p>
    <w:p>
      <w:pPr>
        <w:spacing w:after="100"/>
      </w:pPr>
      <w:r>
        <w:t xml:space="preserve">Proposals will be evaluated on:</w:t>
      </w:r>
    </w:p>
    <w:p>
      <w:pPr>
        <w:pStyle w:val="ListParagraph"/>
        <w:numPr>
          <w:ilvl w:val="0"/>
          <w:numId w:val="2"/>
        </w:numPr>
        <w:spacing w:after="50"/>
      </w:pPr>
      <w:r>
        <w:t xml:space="preserve">Completeness, and pricing of the scope as written</w:t>
      </w:r>
    </w:p>
    <w:p>
      <w:pPr>
        <w:pStyle w:val="ListParagraph"/>
        <w:numPr>
          <w:ilvl w:val="0"/>
          <w:numId w:val="2"/>
        </w:numPr>
        <w:spacing w:after="50"/>
      </w:pPr>
      <w:r>
        <w:t xml:space="preserve">Safety program and at-height qualification</w:t>
      </w:r>
    </w:p>
    <w:p>
      <w:pPr>
        <w:pStyle w:val="ListParagraph"/>
        <w:numPr>
          <w:ilvl w:val="0"/>
          <w:numId w:val="2"/>
        </w:numPr>
        <w:spacing w:after="50"/>
      </w:pPr>
      <w:r>
        <w:t xml:space="preserve">Insurance and endorsements</w:t>
      </w:r>
    </w:p>
    <w:p>
      <w:pPr>
        <w:pStyle w:val="ListParagraph"/>
        <w:numPr>
          <w:ilvl w:val="0"/>
          <w:numId w:val="2"/>
        </w:numPr>
        <w:spacing w:after="50"/>
      </w:pPr>
      <w:r>
        <w:t xml:space="preserve">Workforce: who does the work</w:t>
      </w:r>
    </w:p>
    <w:p>
      <w:pPr>
        <w:pStyle w:val="ListParagraph"/>
        <w:numPr>
          <w:ilvl w:val="0"/>
          <w:numId w:val="2"/>
        </w:numPr>
        <w:spacing w:after="50"/>
      </w:pPr>
      <w:r>
        <w:t xml:space="preserve">Experience on comparable buildings</w:t>
      </w:r>
    </w:p>
    <w:p>
      <w:pPr>
        <w:pStyle w:val="ListParagraph"/>
        <w:numPr>
          <w:ilvl w:val="0"/>
          <w:numId w:val="2"/>
        </w:numPr>
        <w:spacing w:after="50"/>
      </w:pPr>
      <w:r>
        <w:t xml:space="preserve">Coverage of every property with the bidder's own crews</w:t>
      </w:r>
    </w:p>
    <w:p>
      <w:pPr>
        <w:pStyle w:val="ListParagraph"/>
        <w:numPr>
          <w:ilvl w:val="0"/>
          <w:numId w:val="2"/>
        </w:numPr>
        <w:spacing w:after="50"/>
      </w:pPr>
      <w:r>
        <w:t xml:space="preserve">Ability to complete vendor onboarding</w:t>
      </w:r>
    </w:p>
    <w:p>
      <w:pPr>
        <w:pStyle w:val="ListParagraph"/>
        <w:numPr>
          <w:ilvl w:val="0"/>
          <w:numId w:val="2"/>
        </w:numPr>
        <w:spacing w:after="50"/>
      </w:pPr>
      <w:r>
        <w:t xml:space="preserve">Price and contract terms</w:t>
      </w:r>
    </w:p>
    <w:p>
      <w:pPr>
        <w:spacing w:after="100"/>
      </w:pPr>
      <w:r>
        <w:t xml:space="preserve">Proposals that do not meet the insurance and safety requirements will not be considered.</w:t>
      </w:r>
    </w:p>
    <w:p>
      <w:pPr>
        <w:pStyle w:val="Heading1"/>
        <w:keepNext/>
      </w:pPr>
      <w:r>
        <w:rPr>
          <w:color w:val="426DAD"/>
        </w:rPr>
        <w:t xml:space="preserve">12  </w:t>
      </w:r>
      <w:r>
        <w:t xml:space="preserve">Submission</w:t>
      </w:r>
    </w:p>
    <w:p>
      <w:pPr>
        <w:pStyle w:val="ListParagraph"/>
        <w:numPr>
          <w:ilvl w:val="0"/>
          <w:numId w:val="2"/>
        </w:numPr>
        <w:spacing w:after="50"/>
      </w:pPr>
      <w:r>
        <w:t xml:space="preserve">Submit to </w:t>
      </w:r>
      <w:r>
        <w:rPr>
          <w:color w:val="2E5390"/>
          <w:shd w:fill="EAF1FA" w:color="auto" w:val="clear"/>
        </w:rPr>
        <w:t xml:space="preserve">[name, email]</w:t>
      </w:r>
      <w:r>
        <w:t xml:space="preserve"> by </w:t>
      </w:r>
      <w:r>
        <w:rPr>
          <w:color w:val="2E5390"/>
          <w:shd w:fill="EAF1FA" w:color="auto" w:val="clear"/>
        </w:rPr>
        <w:t xml:space="preserve">[date and time]</w:t>
      </w:r>
      <w:r>
        <w:t xml:space="preserve">, as </w:t>
      </w:r>
      <w:r>
        <w:rPr>
          <w:color w:val="2E5390"/>
          <w:shd w:fill="EAF1FA" w:color="auto" w:val="clear"/>
        </w:rPr>
        <w:t xml:space="preserve">[PDF / format]</w:t>
      </w:r>
      <w:r>
        <w:t xml:space="preserve">.</w:t>
      </w:r>
    </w:p>
    <w:p>
      <w:pPr>
        <w:pStyle w:val="ListParagraph"/>
        <w:numPr>
          <w:ilvl w:val="0"/>
          <w:numId w:val="2"/>
        </w:numPr>
        <w:spacing w:after="50"/>
      </w:pPr>
      <w:r>
        <w:t xml:space="preserve">Send questions in writing to </w:t>
      </w:r>
      <w:r>
        <w:rPr>
          <w:color w:val="2E5390"/>
          <w:shd w:fill="EAF1FA" w:color="auto" w:val="clear"/>
        </w:rPr>
        <w:t xml:space="preserve">[contact]</w:t>
      </w:r>
      <w:r>
        <w:t xml:space="preserve"> by </w:t>
      </w:r>
      <w:r>
        <w:rPr>
          <w:color w:val="2E5390"/>
          <w:shd w:fill="EAF1FA" w:color="auto" w:val="clear"/>
        </w:rPr>
        <w:t xml:space="preserve">[date]</w:t>
      </w:r>
      <w:r>
        <w:t xml:space="preserve">. Answers go to every bidder.</w:t>
      </w:r>
    </w:p>
    <w:p>
      <w:pPr>
        <w:pStyle w:val="ListParagraph"/>
        <w:numPr>
          <w:ilvl w:val="0"/>
          <w:numId w:val="2"/>
        </w:numPr>
        <w:spacing w:after="50"/>
      </w:pPr>
      <w:r>
        <w:t xml:space="preserve">Site walk: </w:t>
      </w:r>
      <w:r>
        <w:rPr>
          <w:color w:val="2E5390"/>
          <w:shd w:fill="EAF1FA" w:color="auto" w:val="clear"/>
        </w:rPr>
        <w:t xml:space="preserve">[date, time and meeting point]</w:t>
      </w:r>
      <w:r>
        <w:t xml:space="preserve">.</w:t>
      </w:r>
    </w:p>
    <w:p>
      <w:pPr>
        <w:pStyle w:val="ListParagraph"/>
        <w:numPr>
          <w:ilvl w:val="0"/>
          <w:numId w:val="2"/>
        </w:numPr>
        <w:spacing w:after="50"/>
      </w:pPr>
      <w:r>
        <w:t xml:space="preserve">This RFP does not commit </w:t>
      </w:r>
      <w:r>
        <w:rPr>
          <w:color w:val="2E5390"/>
          <w:shd w:fill="EAF1FA" w:color="auto" w:val="clear"/>
        </w:rPr>
        <w:t xml:space="preserve">[Organization name]</w:t>
      </w:r>
      <w:r>
        <w:t xml:space="preserve"> to award a contract.</w:t>
      </w:r>
    </w:p>
    <w:p>
      <w:pPr>
        <w:pStyle w:val="Heading2"/>
        <w:keepNext/>
      </w:pPr>
      <w:r>
        <w:t xml:space="preserve">Bidder acknowledgment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400"/>
        <w:gridCol w:w="6680"/>
      </w:tblGrid>
      <w:tr>
        <w:trPr>
          <w:tblHeader/>
        </w:trPr>
        <w:tc>
          <w:tcPr>
            <w:tcW w:type="dxa" w:w="340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r>
              <w:rPr>
                <w:b/>
                <w:bCs/>
                <w:color w:val="FFFFFF"/>
                <w:sz w:val="18"/>
                <w:szCs w:val="18"/>
              </w:rPr>
              <w:t xml:space="preserve">Bidder</w:t>
            </w:r>
          </w:p>
        </w:tc>
        <w:tc>
          <w:tcPr>
            <w:tcW w:type="dxa" w:w="6680"/>
            <w:tcBorders>
              <w:top w:val="single" w:color="E7ECF2" w:sz="4"/>
              <w:left w:val="single" w:color="E7ECF2" w:sz="4"/>
              <w:bottom w:val="single" w:color="E7ECF2" w:sz="4"/>
              <w:right w:val="single" w:color="E7ECF2" w:sz="4"/>
            </w:tcBorders>
            <w:shd w:fill="1B2C44" w:color="auto" w:val="clear"/>
            <w:tcMar>
              <w:top w:type="dxa" w:w="70"/>
              <w:left w:type="dxa" w:w="110"/>
              <w:bottom w:type="dxa" w:w="70"/>
              <w:right w:type="dxa" w:w="110"/>
            </w:tcMar>
            <w:vAlign w:val="center"/>
          </w:tcPr>
          <w:p/>
        </w:tc>
      </w:tr>
      <w:tr>
        <w:trPr>
          <w:cantSplit/>
        </w:trPr>
        <w:tc>
          <w:tcPr>
            <w:tcW w:type="dxa" w:w="34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Company</w:t>
            </w:r>
          </w:p>
        </w:tc>
        <w:tc>
          <w:tcPr>
            <w:tcW w:type="dxa" w:w="66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34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Authorized signer</w:t>
            </w:r>
          </w:p>
        </w:tc>
        <w:tc>
          <w:tcPr>
            <w:tcW w:type="dxa" w:w="66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34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Title</w:t>
            </w:r>
          </w:p>
        </w:tc>
        <w:tc>
          <w:tcPr>
            <w:tcW w:type="dxa" w:w="66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34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Signature</w:t>
            </w:r>
          </w:p>
        </w:tc>
        <w:tc>
          <w:tcPr>
            <w:tcW w:type="dxa" w:w="66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r>
        <w:trPr>
          <w:cantSplit/>
        </w:trPr>
        <w:tc>
          <w:tcPr>
            <w:tcW w:type="dxa" w:w="3400"/>
            <w:tcBorders>
              <w:top w:val="single" w:color="E7ECF2" w:sz="4"/>
              <w:left w:val="single" w:color="E7ECF2" w:sz="4"/>
              <w:bottom w:val="single" w:color="E7ECF2" w:sz="4"/>
              <w:right w:val="single" w:color="E7ECF2" w:sz="4"/>
            </w:tcBorders>
            <w:tcMar>
              <w:top w:type="dxa" w:w="70"/>
              <w:left w:type="dxa" w:w="110"/>
              <w:bottom w:type="dxa" w:w="70"/>
              <w:right w:type="dxa" w:w="110"/>
            </w:tcMar>
            <w:vAlign w:val="center"/>
          </w:tcPr>
          <w:p>
            <w:r>
              <w:rPr>
                <w:b/>
                <w:bCs/>
                <w:color w:val="1B2C44"/>
              </w:rPr>
              <w:t xml:space="preserve">Date</w:t>
            </w:r>
          </w:p>
        </w:tc>
        <w:tc>
          <w:tcPr>
            <w:tcW w:type="dxa" w:w="6680"/>
            <w:tcBorders>
              <w:top w:val="single" w:color="E7ECF2" w:sz="4"/>
              <w:left w:val="single" w:color="E7ECF2" w:sz="4"/>
              <w:bottom w:val="single" w:color="E7ECF2" w:sz="4"/>
              <w:right w:val="single" w:color="E7ECF2" w:sz="4"/>
            </w:tcBorders>
            <w:shd w:fill="EAF1FA" w:color="auto" w:val="clear"/>
            <w:tcMar>
              <w:top w:type="dxa" w:w="70"/>
              <w:left w:type="dxa" w:w="110"/>
              <w:bottom w:type="dxa" w:w="70"/>
              <w:right w:type="dxa" w:w="110"/>
            </w:tcMar>
            <w:vAlign w:val="center"/>
          </w:tcPr>
          <w:p/>
        </w:tc>
      </w:tr>
    </w:tbl>
    <w:p>
      <w:pPr>
        <w:spacing w:after="120"/>
      </w:pPr>
    </w:p>
    <w:sectPr>
      <w:headerReference w:type="default" r:id="rId7"/>
      <w:footerReference w:type="default" r:id="rId8"/>
      <w:pgSz w:w="12240" w:h="15840" w:orient="portrait"/>
      <w:pgMar w:top="1080" w:right="1080" w:bottom="1080" w:left="1080" w:header="708" w:footer="708"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pPr>
    <w:r>
      <w:rPr>
        <w:color w:val="5F6E7E"/>
        <w:sz w:val="16"/>
        <w:szCs w:val="16"/>
      </w:rPr>
      <w:t xml:space="preserve">©2026 S&amp;K Building Services, Inc.</w:t>
    </w:r>
    <w:r>
      <w:rPr>
        <w:color w:val="5F6E7E"/>
        <w:sz w:val="16"/>
        <w:szCs w:val="16"/>
      </w:rPr>
      <w:tab/>
      <w:t xml:space="preserve">skbuildingservices.com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pPr>
    <w:r>
      <w:rPr>
        <w:color w:val="5F6E7E"/>
        <w:sz w:val="16"/>
        <w:szCs w:val="16"/>
      </w:rPr>
      <w:t xml:space="preserve">RFP </w:t>
    </w:r>
    <w:r>
      <w:rPr>
        <w:color w:val="2E5390"/>
        <w:shd w:fill="EAF1FA" w:color="auto" w:val="clear"/>
      </w:rPr>
      <w:t xml:space="preserve">[number]</w:t>
    </w:r>
    <w:r>
      <w:rPr>
        <w:color w:val="5F6E7E"/>
        <w:sz w:val="16"/>
        <w:szCs w:val="16"/>
      </w:rPr>
      <w:tab/>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426DAD" w:sz="6" w:space="4"/>
      </w:pBdr>
      <w:tabs>
        <w:tab w:val="right" w:pos="10080"/>
      </w:tabs>
    </w:pPr>
    <w:r>
      <w:rPr>
        <w:color w:val="2E5390"/>
        <w:shd w:fill="EAF1FA" w:color="auto" w:val="clear"/>
      </w:rPr>
      <w:t xml:space="preserve">[Your organization]</w:t>
    </w:r>
    <w:r>
      <w:rPr>
        <w:color w:val="5F6E7E"/>
        <w:sz w:val="16"/>
        <w:szCs w:val="16"/>
      </w:rPr>
      <w:tab/>
      <w:t xml:space="preserve">Request for Proposal: Commercial Window Cleaning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rPr>
        <w:color w:val="426DAD"/>
      </w:rPr>
    </w:lvl>
  </w:abstractNum>
  <w:abstractNum w:abstractNumId="3" w15:restartNumberingAfterBreak="0">
    <w:multiLevelType w:val="hybridMultilevel"/>
    <w:lvl w:ilvl="0" w:tentative="1">
      <w:start w:val="1"/>
      <w:numFmt w:val="bullet"/>
      <w:lvlText w:val="☐"/>
      <w:lvlJc w:val="left"/>
      <w:pPr>
        <w:ind w:left="400" w:hanging="280"/>
      </w:pPr>
      <w:rPr>
        <w:rFonts w:ascii="Segoe UI Symbol" w:cs="Segoe UI Symbol" w:eastAsia="Segoe UI Symbol" w:hAnsi="Segoe UI Symbol"/>
        <w:color w:val="426DAD"/>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E2A38"/>
        <w:sz w:val="20"/>
        <w:szCs w:val="20"/>
      </w:rPr>
    </w:rPrDefault>
    <w:pPrDefault>
      <w:pPr>
        <w:spacing w:line="264" w:lineRule="auto"/>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426DAD" w:sz="8" w:space="4"/>
      </w:pBdr>
      <w:spacing w:after="140" w:before="320"/>
      <w:outlineLvl w:val="0"/>
    </w:pPr>
    <w:rPr>
      <w:rFonts w:ascii="Arial" w:cs="Arial" w:eastAsia="Arial" w:hAnsi="Arial"/>
      <w:b/>
      <w:bCs/>
      <w:color w:val="1B2C44"/>
      <w:sz w:val="28"/>
      <w:szCs w:val="28"/>
    </w:rPr>
  </w:style>
  <w:style w:type="paragraph" w:styleId="Heading2">
    <w:name w:val="Heading 2"/>
    <w:basedOn w:val="Normal"/>
    <w:next w:val="Normal"/>
    <w:qFormat/>
    <w:pPr>
      <w:spacing w:after="100" w:before="200"/>
      <w:outlineLvl w:val="1"/>
    </w:pPr>
    <w:rPr>
      <w:rFonts w:ascii="Arial" w:cs="Arial" w:eastAsia="Arial" w:hAnsi="Arial"/>
      <w:b/>
      <w:bCs/>
      <w:color w:val="1B2C44"/>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theme" Target="theme/theme1.xml"/><Relationship Id="rId10" Type="http://schemas.openxmlformats.org/officeDocument/2006/relationships/image" Target="media/7cd156146030cad210b592ade9f63c4bc7d08c74.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Window Cleaning RFP Template</dc:title>
  <dc:creator>S&amp;K Building Services</dc:creator>
  <cp:lastModifiedBy>Un-named</cp:lastModifiedBy>
  <cp:revision>1</cp:revision>
  <dcterms:created xsi:type="dcterms:W3CDTF">2026-10-02T20:16:14.703Z</dcterms:created>
  <dcterms:modified xsi:type="dcterms:W3CDTF">2026-10-02T20:16:14.703Z</dcterms:modified>
</cp:coreProperties>
</file>

<file path=docProps/custom.xml><?xml version="1.0" encoding="utf-8"?>
<Properties xmlns="http://schemas.openxmlformats.org/officeDocument/2006/custom-properties" xmlns:vt="http://schemas.openxmlformats.org/officeDocument/2006/docPropsVTypes"/>
</file>